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514" w:rsidRDefault="0002221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ЗВІТ ПРО ПРОВЕДЕННЯ МОНІТОРИНГУ РЕАЛІЗАЦІЇ </w:t>
      </w:r>
      <w:r>
        <w:rPr>
          <w:rFonts w:ascii="Times New Roman" w:hAnsi="Times New Roman"/>
          <w:b/>
          <w:sz w:val="28"/>
          <w:szCs w:val="28"/>
          <w:lang w:eastAsia="ru-RU"/>
        </w:rPr>
        <w:br/>
        <w:t>ДЕРЖАВНОЇ СТРАТЕГІЇ РЕГІОНАЛЬНОГО РОЗВИТКУ</w:t>
      </w:r>
      <w:r>
        <w:rPr>
          <w:rFonts w:ascii="Times New Roman" w:hAnsi="Times New Roman"/>
          <w:b/>
          <w:sz w:val="28"/>
          <w:szCs w:val="28"/>
          <w:lang w:eastAsia="ru-RU"/>
        </w:rPr>
        <w:br/>
        <w:t>НА 2021-2027 РОКИ</w:t>
      </w:r>
    </w:p>
    <w:p w:rsidR="008F4514" w:rsidRDefault="008F4514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 2025 РІК</w:t>
      </w:r>
    </w:p>
    <w:p w:rsidR="008F4514" w:rsidRDefault="008F4514">
      <w:pPr>
        <w:spacing w:after="0" w:line="240" w:lineRule="auto"/>
        <w:ind w:firstLine="426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І. Загальна частина</w:t>
      </w:r>
    </w:p>
    <w:p w:rsidR="008F4514" w:rsidRDefault="008F4514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i/>
          <w:sz w:val="20"/>
          <w:szCs w:val="20"/>
          <w:lang w:eastAsia="ru-RU"/>
        </w:rPr>
      </w:pPr>
    </w:p>
    <w:p w:rsidR="008F4514" w:rsidRDefault="0002221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n152"/>
      <w:bookmarkEnd w:id="0"/>
      <w:r>
        <w:rPr>
          <w:rFonts w:ascii="Times New Roman" w:hAnsi="Times New Roman"/>
          <w:sz w:val="28"/>
          <w:szCs w:val="28"/>
          <w:lang w:eastAsia="ru-RU"/>
        </w:rPr>
        <w:t>Постановою Кабінету Міністрів України від 05.08.2020 № 695 затверджено Державну стратегію регіонального розвитку на</w:t>
      </w:r>
      <w:r>
        <w:rPr>
          <w:rFonts w:ascii="Times New Roman" w:hAnsi="Times New Roman"/>
          <w:sz w:val="28"/>
          <w:szCs w:val="28"/>
          <w:lang w:eastAsia="ru-RU"/>
        </w:rPr>
        <w:t xml:space="preserve"> 2021-2027 роки (далі – Стратегія), якою визначено стратегічні цілі державної регіональної політики на період до 2027 року:</w:t>
      </w:r>
    </w:p>
    <w:p w:rsidR="008F4514" w:rsidRDefault="0002221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I. Формування згуртованої держави в соціальному, гуманітарному, економічному, екологічному, безпековому та просторовому вимірах;</w:t>
      </w:r>
    </w:p>
    <w:p w:rsidR="008F4514" w:rsidRDefault="0002221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II.</w:t>
      </w:r>
      <w:r>
        <w:rPr>
          <w:rFonts w:ascii="Times New Roman" w:hAnsi="Times New Roman"/>
          <w:sz w:val="28"/>
          <w:szCs w:val="28"/>
          <w:lang w:eastAsia="ru-RU"/>
        </w:rPr>
        <w:t xml:space="preserve"> Підвищення рівня конкурентоспроможності регіонів;</w:t>
      </w:r>
    </w:p>
    <w:p w:rsidR="008F4514" w:rsidRDefault="0002221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III. Розбудова ефективного багаторівневого врядування,</w:t>
      </w:r>
    </w:p>
    <w:p w:rsidR="008F4514" w:rsidRDefault="0002221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 також перелік показників моніторингу досягнення цілей Стратегії.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Відповідно до Порядку розроблення Державної стратегії регіонального розвитку Украї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ни і плану заходів з її реалізації, а також проведення моніторингу реалізації зазначених Стратегії і плану заходів, затвердженого постановою Кабінету Міністрів України від 4 серпня 2023 р. № 817 моніторинг реалізації Стратегії і виконання плану заходів про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водиться щороку на підставі офіційної державної статистичної інформації, інформації центральних органів виконавчої влади, Ради міністрів</w:t>
      </w:r>
      <w:bookmarkStart w:id="1" w:name="_GoBack"/>
      <w:bookmarkEnd w:id="1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Автономної Республіки Крим, обласних, Київської та Севастопольської міських державних адміністрацій та інших суб’єктів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державної регіональної політики.</w:t>
      </w:r>
    </w:p>
    <w:p w:rsidR="008F4514" w:rsidRDefault="008F4514">
      <w:pPr>
        <w:pStyle w:val="rvps2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bookmarkStart w:id="2" w:name="n53"/>
      <w:bookmarkEnd w:id="2"/>
    </w:p>
    <w:p w:rsidR="008F4514" w:rsidRDefault="0002221E">
      <w:pPr>
        <w:pStyle w:val="rvps2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Моніторинг проводиться шляхом:</w:t>
      </w:r>
    </w:p>
    <w:p w:rsidR="008F4514" w:rsidRDefault="0002221E">
      <w:pPr>
        <w:pStyle w:val="rvps2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bookmarkStart w:id="3" w:name="n54"/>
      <w:bookmarkEnd w:id="3"/>
      <w:r>
        <w:rPr>
          <w:color w:val="000000"/>
          <w:sz w:val="28"/>
          <w:szCs w:val="28"/>
          <w:lang w:eastAsia="ru-RU"/>
        </w:rPr>
        <w:t>відстеження, вимірювання та аналізу відхилення показників фактичних результатів від цільових (проміжних) значень індикаторів досягнення цілей, визначених Стратегією;</w:t>
      </w:r>
    </w:p>
    <w:p w:rsidR="008F4514" w:rsidRDefault="0002221E">
      <w:pPr>
        <w:pStyle w:val="rvps2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bookmarkStart w:id="4" w:name="n55"/>
      <w:bookmarkEnd w:id="4"/>
      <w:r>
        <w:rPr>
          <w:color w:val="000000"/>
          <w:sz w:val="28"/>
          <w:szCs w:val="28"/>
          <w:lang w:eastAsia="ru-RU"/>
        </w:rPr>
        <w:t xml:space="preserve">порівняння фактично </w:t>
      </w:r>
      <w:r>
        <w:rPr>
          <w:color w:val="000000"/>
          <w:sz w:val="28"/>
          <w:szCs w:val="28"/>
          <w:lang w:eastAsia="ru-RU"/>
        </w:rPr>
        <w:t>отриманих значень індикаторів здійснення заходів і їх значень, визначених планом заходів.</w:t>
      </w: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Враховуючи зазначене, а також на виконання пункту 17 Порядку Мінрозвитку  на підставі інформації, поданої центральними органами виконавчої влади, обласними, та Київською міською державними адміністраціями, які визначені відповідальними за подання даних, бу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ло проведено моніторинг реалізації Стратегії у 2025 році. 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lastRenderedPageBreak/>
        <w:t>ІІ. Результати реалізації у 2025 році Державної стратегії регіонального розвитку на 2021-2027 роки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Стратегією визначено 42 показники моніторингу досягнення цілей Державної стратегії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регіонального розвитку на 2021-2027 роки.</w:t>
      </w: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За результатами опрацювання інформації, отриманої від відповідальних за подання даних, моніторинг вдалося провести за 38-ма показниками.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 стратегічною ціллю «I. Формування згуртованої держави в соціальному, гума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нітарному, економічному, екологічному, безпековому та просторовому вимірах»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визначено 20 показників моніторингу досягнення цілі. За результатами опрацювання інформації, отриманої від відповідальних за подання даних, моніторинг проведено за 17 показниками.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 підсумками 2025 року позитивна динаміка спостерігалась за 10 показниками: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закладів загальної середньої освіти, які відновили роботу після деокупації, зросла на 14,7 в. п. та становила 57%. Найвищі значення показника зафіксовано у Київській, 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умській і Чернігівській областях (100%), а також у Миколаївській та Харківській областях (95%);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територій та об’єктів природно-заповідного фонду у загальній площі території держави збільшилась на 0,12 в. п. та становила 6,94%. Найвищі значення по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казника зафіксовано у м. Києві (26,05%), Івано-Франківській (16,3%) та Закарпатській (16,18%)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частка заходів з управління ризиками затоплення, включених до регіональних програм, зросла на 10,7 в. п. та становила 10,7%. Лідерами за значенням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показника стали Чернівецька (37%), Київська (31%), Хмельницька (30%) та Івано-Франківська (29%) області;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заходів планів управління річковими басейнами, включених до регіональних програм, у 2025 році становила 28%. Найвищі значення показника зафік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совано у Кіровоградській (65,3%), Черкаській (48,5%), Львівській (38,4%) та Закарпатській (36,3%)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здобувачів повної загальної середньої освіти, які не подолали поріг «склав / не склав» на НМТ/ЗНО з української мови, зменшилась на 4,98 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п. та становила 0,4%. Найнижчі значення показника зафіксовано у м. Києві, Волинській та Луганській областях (по 0,2%);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здобувачів освіти, які не подолали поріг «склав / не склав» на НМТ/ЗНО з математики, зменшилась на 13,95 в. п. та становила 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0,8%.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Найнижчі значення показника зафіксовано у м. Києві (7,3%), Львівській (8,3%) та Волинській (10%)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частка дітей з особливими освітніми потребами, охоплених інклюзивним навчанням, зросла на 16,86 в. п. та становила 53,66%. Найвищі значення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показника зафіксовано у Луганській (82,01%), Закарпатській (68,85%) та Чернівецькій (65,56%)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кількість пам’яток, на яких проведено ремонтно-реставраційні роботи, збільшилась на 452 та становила 481 одиницю;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рівень охоплення профілактичними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щепленнями відповідно до Календаря профілактичних щеплень України зріс на 12 в. п. та становив 92%;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ветеранів війни та членів їх сімей, які отримали послуги з професійної адаптації, зросла на 11,7 в. п. та становила 59%.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Водночас негативна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динаміка спостерігалась за 7 показниками: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частка територій, що потребують обстеження на наявність вибухонебезпечних предметів, збільшилась на 0,8 в. п. та становила 4,2%. Найвищі значення показника зафіксовано у Сумській (28,22%), Херсонській (27,94%),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Харківській (19,59%), Донецькій (11,98%) та Миколаївській (11,5%) областях. Погіршення показника зумовлене змінами безпекової ситуації внаслідок триваючої збройної агресії російської федерації проти України;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обсяг відходів, утворених внаслідок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руйнувань, збільшився на 5 396,14 тис. тонн та становив 5 396,14 тис. тонн. Найвищі значення показника зафіксовано у Миколаївській, Київській, Одеській та Донецькій областях, а також у м. Києві. Зростання показника зумовлене продовженням збройної агресії 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осійської федерації та неможливістю проведення робіт з розчищення територій у прифронтових районах і зонах бойових дій;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рівень доступності об’єктів фізичного оточення знизився на 13,5 в. п. та становив 8,5%. Найнижчі значення показника зафіксовано у Зап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орізькій, Вінницькій, Київській, Хмельницькій, Донецькій та Івано-Франківській областях. Зниження показника зумовлене зміною методики розрахунку відповідно до постанови Кабінету Міністрів України від 18 березня 2025 р. 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№ 311. Таким чином, зни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ження показника має переважно методологічний характер;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у 2025 році нових деокупованих населених пунктів не зафіксовано, у зв’язку з чим значення показника становило 0%;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– площа відновлених екосистем, рекультивованих земель та земель, на яких здійснюють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ся заходи з консервації, зменшилась на 1 997,61 га та становила 12 961,91 га. Зниження показника зумовлене обмеженим фінансуванням заходів з охорони земель з боку органів місцевого самоврядування;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індекс цифрової трансформації регіонів знизився на 0,206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становив 0,445 одиниці. Найнижчі значення показника зафіксовано у Луганській, Донецькій та Запорізькій областях. Відхилення фактичного значення показника зумовлене оновленням методики розрахунку Індексу цифрової трансформації регіонів та розширенням пе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реліку критеріїв оцінювання;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кількість внутрішньо переміщених осіб, які отримали допомогу на проживання, становила 1 179,1 тис. осіб, що менше планового показника на 1 120,9 тис. осіб. Відхилення пов’язане з актуалізацією критеріїв надання допомоги та 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точненням кількості отримувачів відповідно до чинного порядку надання державної підтримки.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 стратегічною ціллю «II. Підвищення рівня конкурентоспроможності регіонів» визначено 17 показників моніторингу досягнення цілі.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 результатами опрацювання інформ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ації, отриманої від відповідальних за подання даних, моніторинг вдалося провести за 16-ма показниками.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 підсумками 2025 року позитивна динаміка спостерігалась за 9 показниками: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потужність об’єктів, що виробляють теплову енергію з біомаси, збільшилась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97 МВт та становила 4 083 МВт;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населення, забезпеченого укриттями цивільного захисту, зросла на 4 в. п. та становила 50%. Найвищі значення показника зафіксовано у Донецькій області та м. Києві (по 92%), а також у Харківській області (82%);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частка підрозділів добровільної та місцевої пожежної охорони у сільській місцевості, що відповідають нормативному часу прибуття до місця виклику (до 20 хвилин), збільшилась на 2,9 в. п. та становила 66%. Найвищі значення показника зафіксовано у Херсонські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 та Чернівецькій областях (по 100%), а також у Волинській області (95,8%);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місцевих автоматизованих систем централізованого оповіщення, на яких проведено технічну модернізацію, зросла на 1,8 в. п. та становила 12,2%. Найвищі значення показника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афіксовано у Львівській та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Херсонській областях (по 100%), а також у Київській (30,4%) та Рівненській (26,5%)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кількість центрів безпеки, утворених у територіальних громадах як інтегрованих структур у сфері цивільного захисту, громадської безпе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ки та охорони здоров’я, збільшилась на 6 та становила 55 одиниць. Найбільшу кількість таких центрів створено у Донецькій, Полтавській, Івано-Франківській та Черкаській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збільшилась частка містобудівної документації, що містить інженерно-технічн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 заходи цивільного захисту. Зокрема:</w:t>
      </w: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• схем планування територій областей — до 87,5%;</w:t>
      </w: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• генеральних планів міст — до 45,1%;</w:t>
      </w: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• генеральних планів селищ — до 30,7%;</w:t>
      </w: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• генеральних планів сіл — до 16,4%;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співвідношення чисельності застрахованих осіб, за як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их сплачувався єдиний соціальний внесок, до відповідного показника попереднього року збільшилось на 3,24 в. п. та становило 99,38%. Найвищі значення показника зафіксовано у Чернівецькій, Київській, Львівській, Волинській областях та м. Києві;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кількість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індустріальних парків, внесених до Реєстру індустріальних (промислових) парків, збільшилась на 74 та становила 118 одиниць. Найвищі значення показника зафіксовано у Львівській, Київській та Закарпатській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обсяг туристичного збору збільшився 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1,59 млн грн та становив 3,59 млн гривень.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Водночас негативна динаміка спостерігалась за 7 показниками: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обсяг перевалки вантажів через порти України зменшився на 170,2 млн тонн та становив 82,2 млн тонн. В умовах воєнного стану досягнення показника сут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тєво ускладнюється через функціонування лише 6 із 18 морських портів та регулярні пошкодження портової інфраструктури;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обсяг вантажних перевезень залізничним транспортом зменшився на 153 млн тонн та становив 161,3 млн тонн. Зниження показника зумовлене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скороченням виробництва продукції гірничо-металургійного комплексу та агропромислового сектору внаслідок триваючої збройної агресії російської федерації;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– загальна площа житлових будівель, прийнятих в експлуатацію, зменшилась на 1 880,8 тис. кв. м та ста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новила 9 553 тис. кв. метрів. Найнижчі значення показника зафіксовано у Херсонській, Донецькій, Запорізькій та Кіровоградській областях. Дані наведено без урахування тимчасово окупованих територій та територій, на яких ведуться (велися) бойові дії;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ріве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нь забезпечення територіальних громад поліцейськими офіцерами громад зменшився на 149 осіб та становив 2 127 осіб. На зниження показника вплинуло повномасштабне вторгнення російської федерації на територію України;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експорт товарів знизився на 4,1% та 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ановив 95,9% до рівня попереднього періоду. Найбільше скорочення показника зафіксовано у Донецькій, Полтавській, Миколаївській, Одеській та Херсонській областях;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індекс споживчих цін у грудні 2025 року порівняно з груднем 2024 року становив 108%. Серед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регіонів показник варіювався від 106,8% в Одеській області до 110,1% у Волинській області. Ситуація на споживчому ринку в усіх регіонах характеризувалась зростанням цін;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застрахованих осіб, річний дохід яких перевищує 12 середньомісячних заробітн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их плат, зменшилась на 2,64 в. п. та становила 30,74%. Найнижчі значення показника зафіксовано у Дніпропетровській, Волинській, Рівненській та Івано-Франківській областях.</w:t>
      </w:r>
    </w:p>
    <w:p w:rsidR="008F4514" w:rsidRDefault="008F451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Частка територіальних автоматизованих систем централізованого оповіщення, на яких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роведено технічну модернізацію, залишилась незмінною та становила 32%.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За стратегічною ціллю «IIІ. Розбудова ефективного багаторівневого врядування» визначено 5 показників моніторингу досягнення цілі. </w:t>
      </w:r>
      <w:r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 результатами опрацювання інформації, отриманої від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відповідальних за подання даних, моніторинг вдалося провести за 5-ма показниками.</w:t>
      </w:r>
    </w:p>
    <w:p w:rsidR="008F4514" w:rsidRDefault="008F451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 підсумками 2025 року позитивна динаміка спостерігалась за 3 показниками:</w:t>
      </w:r>
    </w:p>
    <w:p w:rsidR="008F4514" w:rsidRDefault="008F4514">
      <w:pPr>
        <w:spacing w:after="0" w:line="240" w:lineRule="auto"/>
        <w:ind w:firstLine="426"/>
        <w:contextualSpacing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територіальних громад, які мають затверджені документи стратегічного планування держав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ної регіональної політики, зросла на 31 в. п. та становила 74%. Найвищі значення показника зафіксовано у Вінницькій (100%), Полтавській (97%), Чернівецькій (94%) та Івано-Франківській (92%) областях;</w:t>
      </w:r>
    </w:p>
    <w:p w:rsidR="008F4514" w:rsidRDefault="008F451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– частка фінансування діяльності агенцій регіонального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розвитку з місцевих бюджетів зменшилась на 13,2 в. п. та становила 32,6%, що свідчить про диверсифікацію джерел фінансування;</w:t>
      </w:r>
    </w:p>
    <w:p w:rsidR="008F4514" w:rsidRDefault="008F451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частка фінансування діяльності агенцій регіонального розвитку з інших джерел збільшилась на 13,2 в. п. та становила 67,4%, що 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відчить про зростання фінансової спроможності агенцій регіонального розвитку.</w:t>
      </w:r>
    </w:p>
    <w:p w:rsidR="008F4514" w:rsidRDefault="008F451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Водночас негативна динаміка спостерігалась за показником:</w:t>
      </w:r>
    </w:p>
    <w:p w:rsidR="008F4514" w:rsidRDefault="008F451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– кількість територіальних громад, які мають діючі договори про співробітництво територіальних громад, зменшилась на 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15 та становила 181 одиницю. Найнижчі значення показника зафіксовано у Кіровоградській, Луганській, Львівській, Полтавській та Хмельницькій областях</w:t>
      </w:r>
    </w:p>
    <w:p w:rsidR="008F4514" w:rsidRDefault="008F451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Негативні тенденції за окремими показниками моніторингу зумовлені, зокрема, триваючою збройною агресією ро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сійської федерації проти України.</w:t>
      </w:r>
    </w:p>
    <w:p w:rsidR="008F4514" w:rsidRDefault="008F451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F4514" w:rsidRDefault="0002221E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Детальну інформацію щодо стану виконання Стратегії наведено у Додатку.</w:t>
      </w:r>
    </w:p>
    <w:sectPr w:rsidR="008F4514">
      <w:headerReference w:type="default" r:id="rId6"/>
      <w:pgSz w:w="11906" w:h="16838"/>
      <w:pgMar w:top="1134" w:right="851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21E" w:rsidRDefault="0002221E">
      <w:pPr>
        <w:spacing w:after="0" w:line="240" w:lineRule="auto"/>
      </w:pPr>
    </w:p>
  </w:endnote>
  <w:endnote w:type="continuationSeparator" w:id="0">
    <w:p w:rsidR="0002221E" w:rsidRDefault="000222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21E" w:rsidRDefault="0002221E">
      <w:pPr>
        <w:spacing w:after="0" w:line="240" w:lineRule="auto"/>
      </w:pPr>
    </w:p>
  </w:footnote>
  <w:footnote w:type="continuationSeparator" w:id="0">
    <w:p w:rsidR="0002221E" w:rsidRDefault="000222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514" w:rsidRDefault="0002221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A188B">
      <w:rPr>
        <w:noProof/>
      </w:rPr>
      <w:t>5</w:t>
    </w:r>
    <w:r>
      <w:fldChar w:fldCharType="end"/>
    </w:r>
  </w:p>
  <w:p w:rsidR="008F4514" w:rsidRDefault="008F451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514"/>
    <w:rsid w:val="0002221E"/>
    <w:rsid w:val="004A188B"/>
    <w:rsid w:val="008F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F3845-3C29-46B7-88CB-0DC9C731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3">
    <w:name w:val="Body Text"/>
    <w:basedOn w:val="a"/>
    <w:link w:val="a4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5">
    <w:name w:val="List Paragraph"/>
    <w:basedOn w:val="a"/>
    <w:qFormat/>
    <w:pPr>
      <w:ind w:left="720"/>
      <w:contextualSpacing/>
    </w:pPr>
  </w:style>
  <w:style w:type="paragraph" w:styleId="a6">
    <w:name w:val="header"/>
    <w:basedOn w:val="a"/>
    <w:link w:val="a7"/>
    <w:pPr>
      <w:tabs>
        <w:tab w:val="center" w:pos="4819"/>
        <w:tab w:val="right" w:pos="9639"/>
      </w:tabs>
      <w:spacing w:after="0" w:line="240" w:lineRule="auto"/>
    </w:pPr>
  </w:style>
  <w:style w:type="paragraph" w:styleId="a8">
    <w:name w:val="footer"/>
    <w:basedOn w:val="a"/>
    <w:link w:val="a9"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footnote text"/>
    <w:link w:val="ab"/>
    <w:semiHidden/>
    <w:pPr>
      <w:spacing w:after="0" w:line="240" w:lineRule="auto"/>
    </w:pPr>
    <w:rPr>
      <w:sz w:val="20"/>
      <w:szCs w:val="20"/>
    </w:rPr>
  </w:style>
  <w:style w:type="paragraph" w:styleId="ac">
    <w:name w:val="endnote text"/>
    <w:link w:val="ad"/>
    <w:semiHidden/>
    <w:pPr>
      <w:spacing w:after="0" w:line="240" w:lineRule="auto"/>
    </w:pPr>
    <w:rPr>
      <w:sz w:val="20"/>
      <w:szCs w:val="20"/>
    </w:rPr>
  </w:style>
  <w:style w:type="character" w:styleId="ae">
    <w:name w:val="line number"/>
    <w:basedOn w:val="a0"/>
    <w:semiHidden/>
  </w:style>
  <w:style w:type="character" w:styleId="af">
    <w:name w:val="Hyperlink"/>
    <w:basedOn w:val="a0"/>
    <w:rPr>
      <w:color w:val="0563C1" w:themeColor="hyperlink"/>
      <w:u w:val="single"/>
    </w:rPr>
  </w:style>
  <w:style w:type="character" w:customStyle="1" w:styleId="a4">
    <w:name w:val="Основний текст Знак"/>
    <w:basedOn w:val="a0"/>
    <w:link w:val="a3"/>
    <w:rPr>
      <w:rFonts w:ascii="Times New Roman" w:hAnsi="Times New Roman"/>
      <w:sz w:val="28"/>
      <w:szCs w:val="20"/>
      <w:lang w:eastAsia="ru-RU"/>
    </w:rPr>
  </w:style>
  <w:style w:type="character" w:customStyle="1" w:styleId="a7">
    <w:name w:val="Верхній колонтитул Знак"/>
    <w:basedOn w:val="a0"/>
    <w:link w:val="a6"/>
  </w:style>
  <w:style w:type="character" w:customStyle="1" w:styleId="a9">
    <w:name w:val="Нижній колонтитул Знак"/>
    <w:basedOn w:val="a0"/>
    <w:link w:val="a8"/>
  </w:style>
  <w:style w:type="character" w:styleId="af0">
    <w:name w:val="footnote reference"/>
    <w:semiHidden/>
    <w:rPr>
      <w:vertAlign w:val="superscript"/>
    </w:rPr>
  </w:style>
  <w:style w:type="character" w:customStyle="1" w:styleId="ab">
    <w:name w:val="Текст виноски Знак"/>
    <w:link w:val="aa"/>
    <w:semiHidden/>
    <w:rPr>
      <w:sz w:val="20"/>
      <w:szCs w:val="20"/>
    </w:rPr>
  </w:style>
  <w:style w:type="character" w:styleId="af1">
    <w:name w:val="endnote reference"/>
    <w:semiHidden/>
    <w:rPr>
      <w:vertAlign w:val="superscript"/>
    </w:rPr>
  </w:style>
  <w:style w:type="character" w:customStyle="1" w:styleId="ad">
    <w:name w:val="Текст кінцевої виноски Знак"/>
    <w:link w:val="ac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8583</Words>
  <Characters>4893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Кінщак Алла Вікторівна</dc:creator>
  <cp:lastModifiedBy>Братасюк Марина Вікторівна</cp:lastModifiedBy>
  <cp:revision>2</cp:revision>
  <dcterms:created xsi:type="dcterms:W3CDTF">2026-05-21T09:35:00Z</dcterms:created>
  <dcterms:modified xsi:type="dcterms:W3CDTF">2026-05-21T09:35:00Z</dcterms:modified>
</cp:coreProperties>
</file>