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Через повномасштабне вторгнення росії мільйони українців вимушено стали внутрішньо переміщеними особами – залишили свої домівки та тимчасово переїхали жити у більш безпечні регіони країни. Незалежно від місця проживання і реєстрації, кожен може отримати медичну допомогу в однаково повному обсязі, незалежно від місця реєстрації чи місця проживання. Це право реалізується через Програму медичних гарантій, яка зокрема, покриває потреби внутрішньо переміщених осіб.</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Програма медичних гарантій включає всі основні види медичної допомоги:</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екстреної медичної допомоги (незалежно від наявності декларації з сімейним лікарем);</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первинної медичної допомоги;</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спеціалізованої медичної допомоги;</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паліативної медичної допомоги;</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реабілітації у сфері охорони здоров’я;</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медичної допомоги дітям до 16 років;</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медичної допомоги у зв’язку з вагітністю та пологами.</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 також безоплатні або з частковою доплатою ліки за</w:t>
      </w:r>
      <w:hyperlink r:id="rId6">
        <w:r w:rsidDel="00000000" w:rsidR="00000000" w:rsidRPr="00000000">
          <w:rPr>
            <w:rFonts w:ascii="Times New Roman" w:cs="Times New Roman" w:eastAsia="Times New Roman" w:hAnsi="Times New Roman"/>
            <w:sz w:val="24"/>
            <w:szCs w:val="24"/>
            <w:rtl w:val="0"/>
          </w:rPr>
          <w:t xml:space="preserve"> </w:t>
        </w:r>
      </w:hyperlink>
      <w:hyperlink r:id="rId7">
        <w:r w:rsidDel="00000000" w:rsidR="00000000" w:rsidRPr="00000000">
          <w:rPr>
            <w:rFonts w:ascii="Times New Roman" w:cs="Times New Roman" w:eastAsia="Times New Roman" w:hAnsi="Times New Roman"/>
            <w:sz w:val="24"/>
            <w:szCs w:val="24"/>
            <w:rtl w:val="0"/>
          </w:rPr>
          <w:t xml:space="preserve">програмою реімбурсації </w:t>
        </w:r>
      </w:hyperlink>
      <w:r w:rsidDel="00000000" w:rsidR="00000000" w:rsidRPr="00000000">
        <w:rPr>
          <w:rFonts w:ascii="Times New Roman" w:cs="Times New Roman" w:eastAsia="Times New Roman" w:hAnsi="Times New Roman"/>
          <w:sz w:val="24"/>
          <w:szCs w:val="24"/>
          <w:rtl w:val="0"/>
        </w:rPr>
        <w:t xml:space="preserve"> </w:t>
      </w:r>
      <w:hyperlink r:id="rId8">
        <w:r w:rsidDel="00000000" w:rsidR="00000000" w:rsidRPr="00000000">
          <w:rPr>
            <w:rFonts w:ascii="Times New Roman" w:cs="Times New Roman" w:eastAsia="Times New Roman" w:hAnsi="Times New Roman"/>
            <w:color w:val="1155cc"/>
            <w:sz w:val="24"/>
            <w:szCs w:val="24"/>
            <w:u w:val="single"/>
            <w:rtl w:val="0"/>
          </w:rPr>
          <w:t xml:space="preserve">Доступні ліки | Національна служба здоров'я України</w:t>
        </w:r>
      </w:hyperlink>
      <w:r w:rsidDel="00000000" w:rsidR="00000000" w:rsidRPr="00000000">
        <w:rPr>
          <w:rFonts w:ascii="Times New Roman" w:cs="Times New Roman" w:eastAsia="Times New Roman" w:hAnsi="Times New Roman"/>
          <w:sz w:val="24"/>
          <w:szCs w:val="24"/>
          <w:rtl w:val="0"/>
        </w:rPr>
        <w:t xml:space="preserve">, </w:t>
      </w:r>
      <w:hyperlink r:id="rId9">
        <w:r w:rsidDel="00000000" w:rsidR="00000000" w:rsidRPr="00000000">
          <w:rPr>
            <w:rFonts w:ascii="Times New Roman" w:cs="Times New Roman" w:eastAsia="Times New Roman" w:hAnsi="Times New Roman"/>
            <w:color w:val="1155cc"/>
            <w:sz w:val="24"/>
            <w:szCs w:val="24"/>
            <w:u w:val="single"/>
            <w:rtl w:val="0"/>
          </w:rPr>
          <w:t xml:space="preserve">Програма реімбурсації лікарських засобів і медвиробів | Національна служба здоров'я України</w:t>
        </w:r>
      </w:hyperlink>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E">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Вхідною точкою до безоплатного медичного обслуговування залишається лікар первинної медичної допомоги: сімейний лікар, терапевт або педіатр. Це може бути лікар комунального або приватного закладу, чи працювати як ФОП за договором із НСЗУ чи працювати як ФОП за договором із НСЗУ. Пацієнтам, які тимчасово проживають в інших населених  пунктах України і потребують медичної допомоги, необхідно звернутись до найближчого медичного закладу з договором з НСЗУ та укласти декларацію з сімейним лікарем.</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Скасовувати попередню декларацію не потрібно. При укладанні нової декларації з обраним лікарем зміни автоматично зафіксуються в електронній системі охорони здоровʼя і попередня декларація буде автоматично анульована.</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Маючи декларацію з лікарем, пацієнти отримують</w:t>
      </w:r>
      <w:hyperlink r:id="rId10">
        <w:r w:rsidDel="00000000" w:rsidR="00000000" w:rsidRPr="00000000">
          <w:rPr>
            <w:rFonts w:ascii="Times New Roman" w:cs="Times New Roman" w:eastAsia="Times New Roman" w:hAnsi="Times New Roman"/>
            <w:sz w:val="24"/>
            <w:szCs w:val="24"/>
            <w:rtl w:val="0"/>
          </w:rPr>
          <w:t xml:space="preserve"> </w:t>
        </w:r>
      </w:hyperlink>
      <w:hyperlink r:id="rId11">
        <w:r w:rsidDel="00000000" w:rsidR="00000000" w:rsidRPr="00000000">
          <w:rPr>
            <w:rFonts w:ascii="Times New Roman" w:cs="Times New Roman" w:eastAsia="Times New Roman" w:hAnsi="Times New Roman"/>
            <w:sz w:val="24"/>
            <w:szCs w:val="24"/>
            <w:rtl w:val="0"/>
          </w:rPr>
          <w:t xml:space="preserve">доступ до безоплатних послуг</w:t>
        </w:r>
      </w:hyperlink>
      <w:r w:rsidDel="00000000" w:rsidR="00000000" w:rsidRPr="00000000">
        <w:rPr>
          <w:rFonts w:ascii="Times New Roman" w:cs="Times New Roman" w:eastAsia="Times New Roman" w:hAnsi="Times New Roman"/>
          <w:sz w:val="24"/>
          <w:szCs w:val="24"/>
          <w:rtl w:val="0"/>
        </w:rPr>
        <w:t xml:space="preserve"> із діагностики та профілактики найпоширеніших захворювань, консультації щодо здорового способу життя, направлення до лікарів-спеціалістів, рецепти на ліки, можуть вакцинуватися відповідно до календаря профілактичних щеплень, оформлювати довідки, листки непрацездатності тощо.</w:t>
      </w:r>
    </w:p>
    <w:p w:rsidR="00000000" w:rsidDel="00000000" w:rsidP="00000000" w:rsidRDefault="00000000" w:rsidRPr="00000000" w14:paraId="00000013">
      <w:pPr>
        <w:ind w:firstLine="72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Знайти найближчий медичний заклад або лікаря, який має договір із НСЗУ для надання окремих видів медичних послуг, можна:</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на дашборді НСЗУ</w:t>
      </w:r>
      <w:hyperlink r:id="rId12">
        <w:r w:rsidDel="00000000" w:rsidR="00000000" w:rsidRPr="00000000">
          <w:rPr>
            <w:rFonts w:ascii="Times New Roman" w:cs="Times New Roman" w:eastAsia="Times New Roman" w:hAnsi="Times New Roman"/>
            <w:sz w:val="24"/>
            <w:szCs w:val="24"/>
            <w:rtl w:val="0"/>
          </w:rPr>
          <w:t xml:space="preserve"> </w:t>
        </w:r>
      </w:hyperlink>
      <w:hyperlink r:id="rId13">
        <w:r w:rsidDel="00000000" w:rsidR="00000000" w:rsidRPr="00000000">
          <w:rPr>
            <w:rFonts w:ascii="Times New Roman" w:cs="Times New Roman" w:eastAsia="Times New Roman" w:hAnsi="Times New Roman"/>
            <w:sz w:val="24"/>
            <w:szCs w:val="24"/>
            <w:rtl w:val="0"/>
          </w:rPr>
          <w:t xml:space="preserve">Електронна карта місць надання первинної медичної допомоги</w:t>
        </w:r>
      </w:hyperlink>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зателефонуйте до контакт-центру НСЗУ за номером 16–77.</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18">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Програма медичних гарантій забезпечує усім українцям однаковий безоплатний перелік та доступ до медичних послуг, незалежно від наявності статусу внутрішньо переміщеної особи.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hyperlink" Target="https://nszu.gov.ua/novini/shcho-garantuyetsya-paciyentam-bezoplatno-za-paketom-pervinn-1169" TargetMode="External"/><Relationship Id="rId10" Type="http://schemas.openxmlformats.org/officeDocument/2006/relationships/hyperlink" Target="https://nszu.gov.ua/novini/shcho-garantuyetsya-paciyentam-bezoplatno-za-paketom-pervinn-1169" TargetMode="External"/><Relationship Id="rId13" Type="http://schemas.openxmlformats.org/officeDocument/2006/relationships/hyperlink" Target="https://edata.e-health.gov.ua/e-data/dashboard/pmd-map" TargetMode="External"/><Relationship Id="rId12" Type="http://schemas.openxmlformats.org/officeDocument/2006/relationships/hyperlink" Target="https://edata.e-health.gov.ua/e-data/dashboard/pmd-ma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szu.gov.ua/gromadianam/dostupni-liki-ta-insulini/dostupni-liki/programa-reimbursaciyi-likarskix-zasobiv-i-medviro-1" TargetMode="External"/><Relationship Id="rId5" Type="http://schemas.openxmlformats.org/officeDocument/2006/relationships/styles" Target="styles.xml"/><Relationship Id="rId6" Type="http://schemas.openxmlformats.org/officeDocument/2006/relationships/hyperlink" Target="https://contracting.nszu.gov.ua/ogoloshennya-pro-ukladennya-dogovoriv/dostupni-liky" TargetMode="External"/><Relationship Id="rId7" Type="http://schemas.openxmlformats.org/officeDocument/2006/relationships/hyperlink" Target="https://contracting.nszu.gov.ua/ogoloshennya-pro-ukladennya-dogovoriv/dostupni-liky" TargetMode="External"/><Relationship Id="rId8" Type="http://schemas.openxmlformats.org/officeDocument/2006/relationships/hyperlink" Target="https://nszu.gov.ua/gromadianam/dostupni-liki-ta-insulini/dostupni-li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