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Житловий ваучер для ВПО з тимчасово окупованих територій.</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w:t>
      </w:r>
      <w:r w:rsidDel="00000000" w:rsidR="00000000" w:rsidRPr="00000000">
        <w:rPr>
          <w:rFonts w:ascii="Times New Roman" w:cs="Times New Roman" w:eastAsia="Times New Roman" w:hAnsi="Times New Roman"/>
          <w:sz w:val="24"/>
          <w:szCs w:val="24"/>
          <w:rtl w:val="0"/>
        </w:rPr>
        <w:t xml:space="preserve">итловий ваучер - спеціальний платіжний документ певного номіналу в електронній формі, що формується і зберігається в Державному реєстрі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rsidR="00000000" w:rsidDel="00000000" w:rsidP="00000000" w:rsidRDefault="00000000" w:rsidRPr="00000000" w14:paraId="00000003">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Ваучер може бути спрямований на фінансування придбання</w:t>
      </w:r>
    </w:p>
    <w:p w:rsidR="00000000" w:rsidDel="00000000" w:rsidP="00000000" w:rsidRDefault="00000000" w:rsidRPr="00000000" w14:paraId="00000004">
      <w:pPr>
        <w:numPr>
          <w:ilvl w:val="0"/>
          <w:numId w:val="7"/>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об’єкта житлової нерухомості (у тому числі інвестування/фінансування його будівництва), </w:t>
      </w:r>
    </w:p>
    <w:p w:rsidR="00000000" w:rsidDel="00000000" w:rsidP="00000000" w:rsidRDefault="00000000" w:rsidRPr="00000000" w14:paraId="00000005">
      <w:pPr>
        <w:numPr>
          <w:ilvl w:val="0"/>
          <w:numId w:val="7"/>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земельної ділянки, на якій розташовано такий об’єкт, частки у праві власності на таке майно (у тому числі на сплату першого внеску за кредитним договором);</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Хто може отримати?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Громадяни України, які:</w:t>
      </w:r>
    </w:p>
    <w:p w:rsidR="00000000" w:rsidDel="00000000" w:rsidP="00000000" w:rsidRDefault="00000000" w:rsidRPr="00000000" w14:paraId="00000008">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перебувають на обліку в Єдиній інформаційній базі даних про внутрішньо переміщених осіб; </w:t>
      </w:r>
    </w:p>
    <w:p w:rsidR="00000000" w:rsidDel="00000000" w:rsidP="00000000" w:rsidRDefault="00000000" w:rsidRPr="00000000" w14:paraId="00000009">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перемістилися з тимчасово окупованих Російською Федерацією територій, включених до</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sz w:val="24"/>
            <w:szCs w:val="24"/>
            <w:u w:val="single"/>
            <w:rtl w:val="0"/>
          </w:rPr>
          <w:t xml:space="preserve">переліку територій, на яких ведуться (велися) бойові дії або тимчасово окупованих Російською Федерацією</w:t>
        </w:r>
      </w:hyperlink>
      <w:r w:rsidDel="00000000" w:rsidR="00000000" w:rsidRPr="00000000">
        <w:rPr>
          <w:rFonts w:ascii="Times New Roman" w:cs="Times New Roman" w:eastAsia="Times New Roman" w:hAnsi="Times New Roman"/>
          <w:sz w:val="24"/>
          <w:szCs w:val="24"/>
          <w:rtl w:val="0"/>
        </w:rPr>
        <w:t xml:space="preserve">, для яких не визначено дати завершення тимчасової окупації; </w:t>
      </w:r>
    </w:p>
    <w:p w:rsidR="00000000" w:rsidDel="00000000" w:rsidP="00000000" w:rsidRDefault="00000000" w:rsidRPr="00000000" w14:paraId="0000000A">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належать до однієї із таких категорій:</w:t>
      </w:r>
    </w:p>
    <w:p w:rsidR="00000000" w:rsidDel="00000000" w:rsidP="00000000" w:rsidRDefault="00000000" w:rsidRPr="00000000" w14:paraId="0000000B">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бойових дій, визначені</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sz w:val="24"/>
            <w:szCs w:val="24"/>
            <w:u w:val="single"/>
            <w:rtl w:val="0"/>
          </w:rPr>
          <w:t xml:space="preserve">пунктами 19-25</w:t>
        </w:r>
      </w:hyperlink>
      <w:r w:rsidDel="00000000" w:rsidR="00000000" w:rsidRPr="00000000">
        <w:rPr>
          <w:rFonts w:ascii="Times New Roman" w:cs="Times New Roman" w:eastAsia="Times New Roman" w:hAnsi="Times New Roman"/>
          <w:sz w:val="24"/>
          <w:szCs w:val="24"/>
          <w:rtl w:val="0"/>
        </w:rPr>
        <w:t xml:space="preserve"> частини першої статті 6 Закону України “Про статус ветеранів війни, гарантії їх соціального захисту”;</w:t>
      </w:r>
    </w:p>
    <w:p w:rsidR="00000000" w:rsidDel="00000000" w:rsidP="00000000" w:rsidRDefault="00000000" w:rsidRPr="00000000" w14:paraId="0000000C">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 з інвалідністю внаслідок війни, визначені</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sz w:val="24"/>
            <w:szCs w:val="24"/>
            <w:u w:val="single"/>
            <w:rtl w:val="0"/>
          </w:rPr>
          <w:t xml:space="preserve">пунктами 11-16</w:t>
        </w:r>
      </w:hyperlink>
      <w:r w:rsidDel="00000000" w:rsidR="00000000" w:rsidRPr="00000000">
        <w:rPr>
          <w:rFonts w:ascii="Times New Roman" w:cs="Times New Roman" w:eastAsia="Times New Roman" w:hAnsi="Times New Roman"/>
          <w:sz w:val="24"/>
          <w:szCs w:val="24"/>
          <w:rtl w:val="0"/>
        </w:rPr>
        <w:t xml:space="preserve"> частини другої статті 7 Закону України “Про статус ветеранів війни, гарантії їх соціального захисту”.</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Хто не може отримати?</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Громадяни України</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до яких застосовано спеціальні економічні та інші обмежувальні заходи відповідно до </w:t>
      </w:r>
      <w:r w:rsidDel="00000000" w:rsidR="00000000" w:rsidRPr="00000000">
        <w:rPr>
          <w:rFonts w:ascii="Times New Roman" w:cs="Times New Roman" w:eastAsia="Times New Roman" w:hAnsi="Times New Roman"/>
          <w:sz w:val="24"/>
          <w:szCs w:val="24"/>
          <w:rtl w:val="0"/>
        </w:rPr>
        <w:t xml:space="preserve">Закону України</w:t>
      </w:r>
      <w:r w:rsidDel="00000000" w:rsidR="00000000" w:rsidRPr="00000000">
        <w:rPr>
          <w:rFonts w:ascii="Times New Roman" w:cs="Times New Roman" w:eastAsia="Times New Roman" w:hAnsi="Times New Roman"/>
          <w:sz w:val="24"/>
          <w:szCs w:val="24"/>
          <w:rtl w:val="0"/>
        </w:rPr>
        <w:t xml:space="preserve"> “Про санкції”;</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які мають судимість за вчинення кримінальних правопорушень, передбачених </w:t>
      </w:r>
      <w:r w:rsidDel="00000000" w:rsidR="00000000" w:rsidRPr="00000000">
        <w:rPr>
          <w:rFonts w:ascii="Times New Roman" w:cs="Times New Roman" w:eastAsia="Times New Roman" w:hAnsi="Times New Roman"/>
          <w:sz w:val="24"/>
          <w:szCs w:val="24"/>
          <w:rtl w:val="0"/>
        </w:rPr>
        <w:t xml:space="preserve">розділом I</w:t>
      </w:r>
      <w:r w:rsidDel="00000000" w:rsidR="00000000" w:rsidRPr="00000000">
        <w:rPr>
          <w:rFonts w:ascii="Times New Roman" w:cs="Times New Roman" w:eastAsia="Times New Roman" w:hAnsi="Times New Roman"/>
          <w:sz w:val="24"/>
          <w:szCs w:val="24"/>
          <w:rtl w:val="0"/>
        </w:rPr>
        <w:t xml:space="preserve"> “Кримінальні правопорушення проти основ національної безпеки України” та </w:t>
      </w:r>
      <w:r w:rsidDel="00000000" w:rsidR="00000000" w:rsidRPr="00000000">
        <w:rPr>
          <w:rFonts w:ascii="Times New Roman" w:cs="Times New Roman" w:eastAsia="Times New Roman" w:hAnsi="Times New Roman"/>
          <w:sz w:val="24"/>
          <w:szCs w:val="24"/>
          <w:rtl w:val="0"/>
        </w:rPr>
        <w:t xml:space="preserve">розділом XX</w:t>
      </w:r>
      <w:r w:rsidDel="00000000" w:rsidR="00000000" w:rsidRPr="00000000">
        <w:rPr>
          <w:rFonts w:ascii="Times New Roman" w:cs="Times New Roman" w:eastAsia="Times New Roman" w:hAnsi="Times New Roman"/>
          <w:sz w:val="24"/>
          <w:szCs w:val="24"/>
          <w:rtl w:val="0"/>
        </w:rPr>
        <w:t xml:space="preserve"> “Кримінальні правопорушення проти миру, безпеки людства та міжнародного правопорядку” Особливої частини Кримінального кодексу України;</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якщо вони та члени їх сім’ї мають у власності об’єкти житлової нерухомості;</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якщо вони та члени їх сім’ї отримали грошову компенсацію за належне для отримання жиле приміщення;</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якщо вони та члени їх сім’ї забезпечені житловими приміщеннями для постійного проживання органами державної влади протягом періоду перебування на обліку в Єдиній інформаційній базі даних про внутрішньо переміщених осіб;</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якщо вони та члени їх сім’ї подали заяву про надання компенсації за знищений об’єкт нерухомого майна та/або яким затверджено рішення про надання такої компенсації;</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якщо вони та члени їх сім’ї починаючи з 24 лютого 2022 р. до дати подання заяви про надання допомоги припинили право власності на об’єкти житлової нерухомості;</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8) якщо вони та члени їх сім’ї розпочали використання або використали державну допомогу відповідно до</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sz w:val="24"/>
            <w:szCs w:val="24"/>
            <w:u w:val="single"/>
            <w:rtl w:val="0"/>
          </w:rPr>
          <w:t xml:space="preserve">Порядку надання державної допомоги внутрішньо переміщеним особам та особам, які проживають на територіях, на яких ведуться (велися) бойові дії, або які перемістилися на ці території з територій, тимчасово окупованих Російською Федерацією, за кредитами, забезпеченими предметом іпотеки</w:t>
        </w:r>
      </w:hyperlink>
      <w:r w:rsidDel="00000000" w:rsidR="00000000" w:rsidRPr="00000000">
        <w:rPr>
          <w:rFonts w:ascii="Times New Roman" w:cs="Times New Roman" w:eastAsia="Times New Roman" w:hAnsi="Times New Roman"/>
          <w:sz w:val="24"/>
          <w:szCs w:val="24"/>
          <w:rtl w:val="0"/>
        </w:rPr>
        <w:t xml:space="preserve">, затвердженого постановою Кабінету Міністрів України від 13 серпня 2025 р. № 998 “Деякі питання надання державної допомоги за кредитом, забезпеченим предметом іпотеки, наданим внутрішньо переміщеним особам та особам, які проживають на територіях, на яких ведуться (велися) бойові дії, або які перемістилися на ці території з територій, тимчасово окупованих Російською Федерацією” (Офіційний вісник України, 2025 р., № 73, ст. 5008), за кредитами, забезпеченими предметом іпотеки, наданими відповідно до</w:t>
      </w:r>
      <w:hyperlink r:id="rId14">
        <w:r w:rsidDel="00000000" w:rsidR="00000000" w:rsidRPr="00000000">
          <w:rPr>
            <w:rFonts w:ascii="Times New Roman" w:cs="Times New Roman" w:eastAsia="Times New Roman" w:hAnsi="Times New Roman"/>
            <w:sz w:val="24"/>
            <w:szCs w:val="24"/>
            <w:rtl w:val="0"/>
          </w:rPr>
          <w:t xml:space="preserve"> </w:t>
        </w:r>
      </w:hyperlink>
      <w:hyperlink r:id="rId15">
        <w:r w:rsidDel="00000000" w:rsidR="00000000" w:rsidRPr="00000000">
          <w:rPr>
            <w:rFonts w:ascii="Times New Roman" w:cs="Times New Roman" w:eastAsia="Times New Roman" w:hAnsi="Times New Roman"/>
            <w:sz w:val="24"/>
            <w:szCs w:val="24"/>
            <w:u w:val="single"/>
            <w:rtl w:val="0"/>
          </w:rPr>
          <w:t xml:space="preserve">Умов забезпечення приватним акціонерним товариством “Українська фінансова житлова компанія” доступного іпотечного кредитування громадян України</w:t>
        </w:r>
      </w:hyperlink>
      <w:r w:rsidDel="00000000" w:rsidR="00000000" w:rsidRPr="00000000">
        <w:rPr>
          <w:rFonts w:ascii="Times New Roman" w:cs="Times New Roman" w:eastAsia="Times New Roman" w:hAnsi="Times New Roman"/>
          <w:sz w:val="24"/>
          <w:szCs w:val="24"/>
          <w:rtl w:val="0"/>
        </w:rPr>
        <w:t xml:space="preserve">, затверджених постановою Кабінету Міністрів України від 2 серпня 2022 р. № 856 “Деякі питання забезпечення приватним акціонерним товариством “Українська фінансова житлова компанія” доступного іпотечного кредитування громадян України” (Офіційний вісник України, 2022 р., № 63, ст. 3802), забезпеченими предметом іпотеки;</w:t>
      </w:r>
      <w:r w:rsidDel="00000000" w:rsidR="00000000" w:rsidRPr="00000000">
        <w:rPr>
          <w:rtl w:val="0"/>
        </w:rPr>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якщо вони зареєстрували (задекларували) місце проживання (перебування) на тимчасово окупованій території після її окупації.</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об’єктів житлової нерухомості отримувача допомоги та членів їх сімей, зазначених у </w:t>
      </w:r>
      <w:r w:rsidDel="00000000" w:rsidR="00000000" w:rsidRPr="00000000">
        <w:rPr>
          <w:rFonts w:ascii="Times New Roman" w:cs="Times New Roman" w:eastAsia="Times New Roman" w:hAnsi="Times New Roman"/>
          <w:sz w:val="24"/>
          <w:szCs w:val="24"/>
          <w:rtl w:val="0"/>
        </w:rPr>
        <w:t xml:space="preserve">пунктах 3-5</w:t>
      </w:r>
      <w:r w:rsidDel="00000000" w:rsidR="00000000" w:rsidRPr="00000000">
        <w:rPr>
          <w:rFonts w:ascii="Times New Roman" w:cs="Times New Roman" w:eastAsia="Times New Roman" w:hAnsi="Times New Roman"/>
          <w:sz w:val="24"/>
          <w:szCs w:val="24"/>
          <w:rtl w:val="0"/>
        </w:rPr>
        <w:t xml:space="preserve">, не належать об’єкти житлової нерухомості, які розташовані на територіях активних бойових дій або тимчасово окупованих Російською Федерацією територіях України, включених до</w:t>
      </w:r>
      <w:hyperlink r:id="rId16">
        <w:r w:rsidDel="00000000" w:rsidR="00000000" w:rsidRPr="00000000">
          <w:rPr>
            <w:rFonts w:ascii="Times New Roman" w:cs="Times New Roman" w:eastAsia="Times New Roman" w:hAnsi="Times New Roman"/>
            <w:sz w:val="24"/>
            <w:szCs w:val="24"/>
            <w:rtl w:val="0"/>
          </w:rPr>
          <w:t xml:space="preserve"> </w:t>
        </w:r>
      </w:hyperlink>
      <w:hyperlink r:id="rId17">
        <w:r w:rsidDel="00000000" w:rsidR="00000000" w:rsidRPr="00000000">
          <w:rPr>
            <w:rFonts w:ascii="Times New Roman" w:cs="Times New Roman" w:eastAsia="Times New Roman" w:hAnsi="Times New Roman"/>
            <w:sz w:val="24"/>
            <w:szCs w:val="24"/>
            <w:u w:val="single"/>
            <w:rtl w:val="0"/>
          </w:rPr>
          <w:t xml:space="preserve">переліку територій, на яких ведуться (велися) бойові дії або тимчасово окупованих Російською Федерацією</w:t>
        </w:r>
      </w:hyperlink>
      <w:r w:rsidDel="00000000" w:rsidR="00000000" w:rsidRPr="00000000">
        <w:rPr>
          <w:rFonts w:ascii="Times New Roman" w:cs="Times New Roman" w:eastAsia="Times New Roman" w:hAnsi="Times New Roman"/>
          <w:sz w:val="24"/>
          <w:szCs w:val="24"/>
          <w:rtl w:val="0"/>
        </w:rPr>
        <w:t xml:space="preserve">, затвердженого Мінрозвитку, для яких не визначена дата завершення бойових дій (припинення можливості бойових дій) або тимчасової окупації.</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Перевірка наявного права власності на об’єкти житлової нерухомості та інформації щодо припинення права власності на об’єкти житлової нерухомості проводиться на підставі відомостей Державного реєстру речових прав на нерухоме майно.</w:t>
      </w:r>
    </w:p>
    <w:p w:rsidR="00000000" w:rsidDel="00000000" w:rsidP="00000000" w:rsidRDefault="00000000" w:rsidRPr="00000000" w14:paraId="0000001A">
      <w:pPr>
        <w:keepNext w:val="0"/>
        <w:keepLines w:val="0"/>
        <w:pBdr>
          <w:top w:color="auto" w:space="0" w:sz="0" w:val="none"/>
          <w:left w:color="auto" w:space="0" w:sz="0" w:val="none"/>
          <w:bottom w:color="auto" w:space="0" w:sz="0" w:val="none"/>
          <w:right w:color="auto" w:space="0" w:sz="0" w:val="none"/>
          <w:between w:color="auto" w:space="0" w:sz="0" w:val="none"/>
        </w:pBdr>
        <w:shd w:fill="fcfcfc" w:val="clear"/>
        <w:spacing w:after="0" w:befor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Куди можна подати заяву?</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cfcfc" w:val="clea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Отримувач допомоги може подати заяву одним із таких способів:</w:t>
      </w:r>
    </w:p>
    <w:p w:rsidR="00000000" w:rsidDel="00000000" w:rsidP="00000000" w:rsidRDefault="00000000" w:rsidRPr="00000000" w14:paraId="0000001C">
      <w:pPr>
        <w:numPr>
          <w:ilvl w:val="0"/>
          <w:numId w:val="3"/>
        </w:numPr>
        <w:pBdr>
          <w:top w:color="auto" w:space="0" w:sz="0" w:val="none"/>
          <w:left w:color="auto" w:space="0" w:sz="0" w:val="none"/>
          <w:bottom w:color="auto" w:space="0" w:sz="0" w:val="none"/>
          <w:right w:color="auto" w:space="0" w:sz="0" w:val="none"/>
          <w:between w:color="auto" w:space="0" w:sz="0" w:val="none"/>
        </w:pBdr>
        <w:shd w:fill="fcfcfc" w:val="clear"/>
        <w:spacing w:after="0" w:afterAutospacing="0" w:before="1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портал Дія </w:t>
      </w:r>
    </w:p>
    <w:p w:rsidR="00000000" w:rsidDel="00000000" w:rsidP="00000000" w:rsidRDefault="00000000" w:rsidRPr="00000000" w14:paraId="0000001D">
      <w:pPr>
        <w:numPr>
          <w:ilvl w:val="0"/>
          <w:numId w:val="3"/>
        </w:numPr>
        <w:pBdr>
          <w:top w:color="auto" w:space="0" w:sz="0" w:val="none"/>
          <w:left w:color="auto" w:space="0" w:sz="0" w:val="none"/>
          <w:bottom w:color="auto" w:space="0" w:sz="0" w:val="none"/>
          <w:right w:color="auto" w:space="0" w:sz="0" w:val="none"/>
          <w:between w:color="auto" w:space="0" w:sz="0" w:val="none"/>
        </w:pBdr>
        <w:shd w:fill="fcfcfc" w:val="clea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ЦНАП </w:t>
      </w:r>
    </w:p>
    <w:p w:rsidR="00000000" w:rsidDel="00000000" w:rsidP="00000000" w:rsidRDefault="00000000" w:rsidRPr="00000000" w14:paraId="0000001E">
      <w:pPr>
        <w:numPr>
          <w:ilvl w:val="0"/>
          <w:numId w:val="3"/>
        </w:numPr>
        <w:pBdr>
          <w:top w:color="auto" w:space="0" w:sz="0" w:val="none"/>
          <w:left w:color="auto" w:space="0" w:sz="0" w:val="none"/>
          <w:bottom w:color="auto" w:space="0" w:sz="0" w:val="none"/>
          <w:right w:color="auto" w:space="0" w:sz="0" w:val="none"/>
          <w:between w:color="auto" w:space="0" w:sz="0" w:val="none"/>
        </w:pBdr>
        <w:shd w:fill="fcfcfc" w:val="clear"/>
        <w:spacing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нотаріуса </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cfcfc" w:val="clear"/>
        <w:spacing w:before="12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Якщо заяву подає представник отримувача допомоги, звернутися можна виключно через ЦНАП або нотаріуса.</w:t>
      </w:r>
    </w:p>
    <w:p w:rsidR="00000000" w:rsidDel="00000000" w:rsidP="00000000" w:rsidRDefault="00000000" w:rsidRPr="00000000" w14:paraId="00000020">
      <w:pPr>
        <w:keepNext w:val="0"/>
        <w:keepLines w:val="0"/>
        <w:pBdr>
          <w:top w:color="auto" w:space="0" w:sz="0" w:val="none"/>
          <w:left w:color="auto" w:space="0" w:sz="0" w:val="none"/>
          <w:bottom w:color="auto" w:space="0" w:sz="0" w:val="none"/>
          <w:right w:color="auto" w:space="0" w:sz="0" w:val="none"/>
          <w:between w:color="auto" w:space="0" w:sz="0" w:val="none"/>
        </w:pBdr>
        <w:shd w:fill="fcfcfc" w:val="clear"/>
        <w:spacing w:after="0" w:befor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Як подати заяву через Дію?</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cfcfc" w:val="clea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подання заяви необхідно пройти електронну ідентифікацію та підтвердити свою особу за допомогою доступних засобів електронної ідентифікації.</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cfcfc"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Після формування заяви її потрібно підписати електронним підписом. Для цього можна використовувати:</w:t>
      </w:r>
    </w:p>
    <w:p w:rsidR="00000000" w:rsidDel="00000000" w:rsidP="00000000" w:rsidRDefault="00000000" w:rsidRPr="00000000" w14:paraId="00000023">
      <w:pPr>
        <w:numPr>
          <w:ilvl w:val="0"/>
          <w:numId w:val="2"/>
        </w:numPr>
        <w:pBdr>
          <w:top w:color="auto" w:space="0" w:sz="0" w:val="none"/>
          <w:left w:color="auto" w:space="0" w:sz="0" w:val="none"/>
          <w:bottom w:color="auto" w:space="0" w:sz="0" w:val="none"/>
          <w:right w:color="auto" w:space="0" w:sz="0" w:val="none"/>
          <w:between w:color="auto" w:space="0" w:sz="0" w:val="none"/>
        </w:pBdr>
        <w:shd w:fill="fcfcfc" w:val="clear"/>
        <w:spacing w:after="0" w:afterAutospacing="0" w:before="1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кваліфік</w:t>
      </w:r>
      <w:r w:rsidDel="00000000" w:rsidR="00000000" w:rsidRPr="00000000">
        <w:rPr>
          <w:rFonts w:ascii="Times New Roman" w:cs="Times New Roman" w:eastAsia="Times New Roman" w:hAnsi="Times New Roman"/>
          <w:sz w:val="24"/>
          <w:szCs w:val="24"/>
          <w:rtl w:val="0"/>
        </w:rPr>
        <w:t xml:space="preserve">ований електронний підпис (КЕП);</w:t>
      </w:r>
    </w:p>
    <w:p w:rsidR="00000000" w:rsidDel="00000000" w:rsidP="00000000" w:rsidRDefault="00000000" w:rsidRPr="00000000" w14:paraId="00000024">
      <w:pPr>
        <w:numPr>
          <w:ilvl w:val="0"/>
          <w:numId w:val="2"/>
        </w:numPr>
        <w:pBdr>
          <w:top w:color="auto" w:space="0" w:sz="0" w:val="none"/>
          <w:left w:color="auto" w:space="0" w:sz="0" w:val="none"/>
          <w:bottom w:color="auto" w:space="0" w:sz="0" w:val="none"/>
          <w:right w:color="auto" w:space="0" w:sz="0" w:val="none"/>
          <w:between w:color="auto" w:space="0" w:sz="0" w:val="none"/>
        </w:pBdr>
        <w:shd w:fill="fcfcfc" w:val="clear"/>
        <w:spacing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удосконалений електронний підпис на основі кваліфікованого сертифіката </w:t>
      </w:r>
      <w:r w:rsidDel="00000000" w:rsidR="00000000" w:rsidRPr="00000000">
        <w:rPr>
          <w:rFonts w:ascii="Times New Roman" w:cs="Times New Roman" w:eastAsia="Times New Roman" w:hAnsi="Times New Roman"/>
          <w:sz w:val="24"/>
          <w:szCs w:val="24"/>
          <w:highlight w:val="white"/>
          <w:rtl w:val="0"/>
        </w:rPr>
        <w:t xml:space="preserve">електронного підпису отримувача допомоги</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cfcfc"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 час подання заяви через мобільний застосунок Дія використовується </w:t>
      </w:r>
      <w:r w:rsidDel="00000000" w:rsidR="00000000" w:rsidRPr="00000000">
        <w:rPr>
          <w:rFonts w:ascii="Times New Roman" w:cs="Times New Roman" w:eastAsia="Times New Roman" w:hAnsi="Times New Roman"/>
          <w:sz w:val="24"/>
          <w:szCs w:val="24"/>
          <w:highlight w:val="white"/>
          <w:rtl w:val="0"/>
        </w:rPr>
        <w:t xml:space="preserve">на неї накладається віддалений кваліфікований електронний підпис “Дія.Підпис”.</w:t>
      </w:r>
      <w:r w:rsidDel="00000000" w:rsidR="00000000" w:rsidRPr="00000000">
        <w:rPr>
          <w:rtl w:val="0"/>
        </w:rPr>
      </w:r>
    </w:p>
    <w:p w:rsidR="00000000" w:rsidDel="00000000" w:rsidP="00000000" w:rsidRDefault="00000000" w:rsidRPr="00000000" w14:paraId="00000026">
      <w:pPr>
        <w:keepNext w:val="0"/>
        <w:keepLines w:val="0"/>
        <w:pBdr>
          <w:top w:color="auto" w:space="0" w:sz="0" w:val="none"/>
          <w:left w:color="auto" w:space="0" w:sz="0" w:val="none"/>
          <w:bottom w:color="auto" w:space="0" w:sz="0" w:val="none"/>
          <w:right w:color="auto" w:space="0" w:sz="0" w:val="none"/>
          <w:between w:color="auto" w:space="0" w:sz="0" w:val="none"/>
        </w:pBdr>
        <w:shd w:fill="fcfcfc" w:val="clear"/>
        <w:spacing w:after="0" w:befor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Які документи потрібні для звернення до ЦНАП?</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cfcfc" w:val="clea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 час подання заяви адміністратору ЦНАП необхідно надати:</w:t>
      </w:r>
    </w:p>
    <w:p w:rsidR="00000000" w:rsidDel="00000000" w:rsidP="00000000" w:rsidRDefault="00000000" w:rsidRPr="00000000" w14:paraId="00000028">
      <w:pPr>
        <w:numPr>
          <w:ilvl w:val="0"/>
          <w:numId w:val="4"/>
        </w:numPr>
        <w:pBdr>
          <w:top w:color="auto" w:space="0" w:sz="0" w:val="none"/>
          <w:left w:color="auto" w:space="0" w:sz="0" w:val="none"/>
          <w:bottom w:color="auto" w:space="0" w:sz="0" w:val="none"/>
          <w:right w:color="auto" w:space="0" w:sz="0" w:val="none"/>
          <w:between w:color="auto" w:space="0" w:sz="0" w:val="none"/>
        </w:pBdr>
        <w:shd w:fill="fcfcfc" w:val="clear"/>
        <w:spacing w:after="0" w:afterAutospacing="0" w:before="1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 що посвідчує особу та підтверджує громадянство України;</w:t>
      </w:r>
    </w:p>
    <w:p w:rsidR="00000000" w:rsidDel="00000000" w:rsidP="00000000" w:rsidRDefault="00000000" w:rsidRPr="00000000" w14:paraId="00000029">
      <w:pPr>
        <w:numPr>
          <w:ilvl w:val="0"/>
          <w:numId w:val="4"/>
        </w:numPr>
        <w:pBdr>
          <w:top w:color="auto" w:space="0" w:sz="0" w:val="none"/>
          <w:left w:color="auto" w:space="0" w:sz="0" w:val="none"/>
          <w:bottom w:color="auto" w:space="0" w:sz="0" w:val="none"/>
          <w:right w:color="auto" w:space="0" w:sz="0" w:val="none"/>
          <w:between w:color="auto" w:space="0" w:sz="0" w:val="none"/>
        </w:pBdr>
        <w:shd w:fill="fcfcfc" w:val="clear"/>
        <w:spacing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 про реєстрацію в Державному реєстрі фізичних осіб - платників податків (РНОКПП).</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cfcfc"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Виняток щодо РНОКПП передбачений для осіб, які відмовилися від нього через релігійні переконання, повідомили про це контролюючий орган та мають відповідну відмітку в паспорті.</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cfcfc"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Якщо заяву подає представник, додатково необхідно надати документ, що підтверджує його повноваження.</w:t>
      </w:r>
    </w:p>
    <w:p w:rsidR="00000000" w:rsidDel="00000000" w:rsidP="00000000" w:rsidRDefault="00000000" w:rsidRPr="00000000" w14:paraId="0000002C">
      <w:pPr>
        <w:keepNext w:val="0"/>
        <w:keepLines w:val="0"/>
        <w:pBdr>
          <w:top w:color="auto" w:space="0" w:sz="0" w:val="none"/>
          <w:left w:color="auto" w:space="0" w:sz="0" w:val="none"/>
          <w:bottom w:color="auto" w:space="0" w:sz="0" w:val="none"/>
          <w:right w:color="auto" w:space="0" w:sz="0" w:val="none"/>
          <w:between w:color="auto" w:space="0" w:sz="0" w:val="none"/>
        </w:pBdr>
        <w:shd w:fill="fcfcfc" w:val="clear"/>
        <w:spacing w:after="0" w:befor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Як відбувається оформлення заяви в ЦНАП?</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cfcfc" w:val="clea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Адміністратор ЦНАП:</w:t>
      </w:r>
    </w:p>
    <w:p w:rsidR="00000000" w:rsidDel="00000000" w:rsidP="00000000" w:rsidRDefault="00000000" w:rsidRPr="00000000" w14:paraId="0000002E">
      <w:pPr>
        <w:numPr>
          <w:ilvl w:val="0"/>
          <w:numId w:val="1"/>
        </w:numPr>
        <w:pBdr>
          <w:top w:color="auto" w:space="0" w:sz="0" w:val="none"/>
          <w:left w:color="auto" w:space="0" w:sz="0" w:val="none"/>
          <w:bottom w:color="auto" w:space="0" w:sz="0" w:val="none"/>
          <w:right w:color="auto" w:space="0" w:sz="0" w:val="none"/>
          <w:between w:color="auto" w:space="0" w:sz="0" w:val="none"/>
        </w:pBdr>
        <w:shd w:fill="fcfcfc" w:val="clear"/>
        <w:spacing w:after="0" w:afterAutospacing="0" w:before="12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Формує електронну заяву за допомогою порталу Дія.</w:t>
      </w:r>
    </w:p>
    <w:p w:rsidR="00000000" w:rsidDel="00000000" w:rsidP="00000000" w:rsidRDefault="00000000" w:rsidRPr="00000000" w14:paraId="0000002F">
      <w:pPr>
        <w:numPr>
          <w:ilvl w:val="0"/>
          <w:numId w:val="1"/>
        </w:numPr>
        <w:pBdr>
          <w:top w:color="auto" w:space="0" w:sz="0" w:val="none"/>
          <w:left w:color="auto" w:space="0" w:sz="0" w:val="none"/>
          <w:bottom w:color="auto" w:space="0" w:sz="0" w:val="none"/>
          <w:right w:color="auto" w:space="0" w:sz="0" w:val="none"/>
          <w:between w:color="auto" w:space="0" w:sz="0" w:val="none"/>
        </w:pBdr>
        <w:shd w:fill="fcfcfc" w:val="clea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Роздруковує заяву та надає її заявнику або представнику для перевірки.</w:t>
      </w:r>
    </w:p>
    <w:p w:rsidR="00000000" w:rsidDel="00000000" w:rsidP="00000000" w:rsidRDefault="00000000" w:rsidRPr="00000000" w14:paraId="00000030">
      <w:pPr>
        <w:numPr>
          <w:ilvl w:val="0"/>
          <w:numId w:val="1"/>
        </w:numPr>
        <w:pBdr>
          <w:top w:color="auto" w:space="0" w:sz="0" w:val="none"/>
          <w:left w:color="auto" w:space="0" w:sz="0" w:val="none"/>
          <w:bottom w:color="auto" w:space="0" w:sz="0" w:val="none"/>
          <w:right w:color="auto" w:space="0" w:sz="0" w:val="none"/>
          <w:between w:color="auto" w:space="0" w:sz="0" w:val="none"/>
        </w:pBdr>
        <w:shd w:fill="fcfcfc" w:val="clea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Після перевірки заявник або представник підписує заяву.</w:t>
      </w:r>
    </w:p>
    <w:p w:rsidR="00000000" w:rsidDel="00000000" w:rsidP="00000000" w:rsidRDefault="00000000" w:rsidRPr="00000000" w14:paraId="00000031">
      <w:pPr>
        <w:numPr>
          <w:ilvl w:val="0"/>
          <w:numId w:val="1"/>
        </w:numPr>
        <w:pBdr>
          <w:top w:color="auto" w:space="0" w:sz="0" w:val="none"/>
          <w:left w:color="auto" w:space="0" w:sz="0" w:val="none"/>
          <w:bottom w:color="auto" w:space="0" w:sz="0" w:val="none"/>
          <w:right w:color="auto" w:space="0" w:sz="0" w:val="none"/>
          <w:between w:color="auto" w:space="0" w:sz="0" w:val="none"/>
        </w:pBdr>
        <w:shd w:fill="fcfcfc" w:val="clear"/>
        <w:spacing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Адміністратор накладає на заяву свій електронний підпис.</w:t>
      </w:r>
    </w:p>
    <w:p w:rsidR="00000000" w:rsidDel="00000000" w:rsidP="00000000" w:rsidRDefault="00000000" w:rsidRPr="00000000" w14:paraId="00000032">
      <w:pPr>
        <w:keepNext w:val="0"/>
        <w:keepLines w:val="0"/>
        <w:pBdr>
          <w:top w:color="auto" w:space="0" w:sz="0" w:val="none"/>
          <w:left w:color="auto" w:space="0" w:sz="0" w:val="none"/>
          <w:bottom w:color="auto" w:space="0" w:sz="0" w:val="none"/>
          <w:right w:color="auto" w:space="0" w:sz="0" w:val="none"/>
          <w:between w:color="auto" w:space="0" w:sz="0" w:val="none"/>
        </w:pBdr>
        <w:shd w:fill="fcfcfc" w:val="clear"/>
        <w:spacing w:after="0" w:befor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Куди подається заява після підписання?</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cfcfc" w:val="clea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Після формування та підписання електронна заява, незалежно від обраного способу подання через Дію, ЦНАП або нотаріуса, передається до Реєстру пошкодженого та знищеного майна для подальшого опрацювання суб'єктом надання адміністративної послуги.</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cfcfc" w:val="clea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Розгляд заяви про надання допомоги здійснюється комісією за місцем проживання отримувача допомоги відповідно до довідки про взяття на облік внутрішньо переміщеної особи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cfcfc" w:val="clea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Після прийняття рішення:</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cfcfc"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Якщо рішення позитивне, уповноважений орган затверджує рішення комісії про надання допомоги та житловий ваучер.</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cfcfc"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Якщо заява подавалася через Дію, затверджене рішення комісії та житловий ваучер (у разі позитивного рішення) автоматично і невідкладно надсилаються заявнику через портал Дія або мобільний застосунок Дія.</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cfcfc"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Якщо заява подавалася через ЦНАП або нотаріуса, рішення комісії та житловий ваучер надходять через портал Дія до того ЦНАП або нотаріуса, через який подавалася заява. Адміністратор ЦНАП або нотаріус не пізніше наступного робочого дня після отримання результату повідомляє про це отримувача допомоги або його представника. Результат розгляду заяви роздруковується на звичайному папері, без спеціальних бланків, та видається особисто отримувачу допомоги або його представнику.</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yperlink" Target="https://zakon.rada.gov.ua/laws/show/3551-12#n103" TargetMode="External"/><Relationship Id="rId10" Type="http://schemas.openxmlformats.org/officeDocument/2006/relationships/hyperlink" Target="https://zakon.rada.gov.ua/laws/show/3551-12#n103" TargetMode="External"/><Relationship Id="rId13" Type="http://schemas.openxmlformats.org/officeDocument/2006/relationships/hyperlink" Target="https://zakon.rada.gov.ua/laws/show/998-2025-%D0%BF#n14" TargetMode="External"/><Relationship Id="rId12" Type="http://schemas.openxmlformats.org/officeDocument/2006/relationships/hyperlink" Target="https://zakon.rada.gov.ua/laws/show/998-2025-%D0%BF#n1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zakon.rada.gov.ua/laws/show/3551-12#n73" TargetMode="External"/><Relationship Id="rId15" Type="http://schemas.openxmlformats.org/officeDocument/2006/relationships/hyperlink" Target="https://zakon.rada.gov.ua/laws/show/856-2022-%D0%BF#n11" TargetMode="External"/><Relationship Id="rId14" Type="http://schemas.openxmlformats.org/officeDocument/2006/relationships/hyperlink" Target="https://zakon.rada.gov.ua/laws/show/856-2022-%D0%BF#n11" TargetMode="External"/><Relationship Id="rId17" Type="http://schemas.openxmlformats.org/officeDocument/2006/relationships/hyperlink" Target="https://zakon.rada.gov.ua/laws/show/z0380-25#n16" TargetMode="External"/><Relationship Id="rId16" Type="http://schemas.openxmlformats.org/officeDocument/2006/relationships/hyperlink" Target="https://zakon.rada.gov.ua/laws/show/z0380-25#n16" TargetMode="External"/><Relationship Id="rId5" Type="http://schemas.openxmlformats.org/officeDocument/2006/relationships/styles" Target="styles.xml"/><Relationship Id="rId6" Type="http://schemas.openxmlformats.org/officeDocument/2006/relationships/hyperlink" Target="https://zakon.rada.gov.ua/laws/show/z0380-25#n16" TargetMode="External"/><Relationship Id="rId7" Type="http://schemas.openxmlformats.org/officeDocument/2006/relationships/hyperlink" Target="https://zakon.rada.gov.ua/laws/show/z0380-25#n16" TargetMode="External"/><Relationship Id="rId8" Type="http://schemas.openxmlformats.org/officeDocument/2006/relationships/hyperlink" Target="https://zakon.rada.gov.ua/laws/show/3551-12#n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