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Зняття з обліку ВПО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ind w:firstLine="4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Зняття з обліку внутрішньо переміщеної особи здійснюється за її заявою: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ind w:firstLine="4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1) про зняття з обліку як внутрішньо переміщеної особи;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ind w:firstLine="4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2) про повернення до покинутого місця проживання;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ind w:firstLine="4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3) у зв’язку з виїздом за кордон на постійне проживання.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Також Зняття з обліку ВПО здійснюється районною, районною у місті Києві або Севастополі державною адміністрацією, виконавчим органом сільської, селищної, міської, районної у місті (у разі утворення) ради, якщо: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ind w:firstLine="4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1) особа не повідомила протягом 30 календарних днів з дня прибуття до нового місця проживання або повернення до покинутого місця проживання;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ind w:firstLine="4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2) особа виїхала за кордон на постійне проживання або з інших причин відсутня на території України більше 90 днів поспіль чи більше 180 днів сукупно протягом року, крім випадків перебування за межами України понад зазначені строки з обґрунтованих причин, перелік яких і граничні строки перебування визначаються Кабінетом Міністрів України;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ind w:firstLine="4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3) щодо особи набрав законної сили обвинувальний вирок суду за вчинення кримінального правопорушення, передбаченого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Times New Roman" w:cs="Times New Roman" w:eastAsia="Times New Roman" w:hAnsi="Times New Roman"/>
            <w:u w:val="single"/>
            <w:rtl w:val="0"/>
          </w:rPr>
          <w:t xml:space="preserve">розділом I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"Кримінальні правопорушення проти основ національної безпеки України" Особливої частини або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Times New Roman" w:cs="Times New Roman" w:eastAsia="Times New Roman" w:hAnsi="Times New Roman"/>
            <w:u w:val="single"/>
            <w:rtl w:val="0"/>
          </w:rPr>
          <w:t xml:space="preserve">статтею 436</w:t>
        </w:r>
      </w:hyperlink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u w:val="single"/>
            <w:vertAlign w:val="superscript"/>
            <w:rtl w:val="0"/>
          </w:rPr>
          <w:t xml:space="preserve">-2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Кримінального кодексу України;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ind w:firstLine="4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4) особа подала завідомо недостовірні відомості, які стали підставою для взяття її на облік як внутрішньо переміщену особу;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ind w:firstLine="4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5) відновлено умови для безпечного, добровільного та гідного повернення до покинутого місця проживання;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ind w:firstLine="4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6) особа померла або оголошена померлою.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cfcfc" w:val="clear"/>
        <w:spacing w:after="0" w:before="360" w:lineRule="auto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bookmarkStart w:colFirst="0" w:colLast="0" w:name="_c4l78zcg1co9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Право на повторне отримання статусу ВПО.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cfcfc" w:val="clear"/>
        <w:spacing w:before="12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Якщо обставини, через які людину зняли з обліку, змінилися, вона має право повторно подати заяву та стати на облік як внутрішньо переміщена особа.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zakon.rada.gov.ua/laws/show/2341-14#n3891" TargetMode="External"/><Relationship Id="rId9" Type="http://schemas.openxmlformats.org/officeDocument/2006/relationships/hyperlink" Target="https://zakon.rada.gov.ua/laws/show/2341-14#n3891" TargetMode="External"/><Relationship Id="rId5" Type="http://schemas.openxmlformats.org/officeDocument/2006/relationships/styles" Target="styles.xml"/><Relationship Id="rId6" Type="http://schemas.openxmlformats.org/officeDocument/2006/relationships/hyperlink" Target="https://zakon.rada.gov.ua/laws/show/2341-14#n689" TargetMode="External"/><Relationship Id="rId7" Type="http://schemas.openxmlformats.org/officeDocument/2006/relationships/hyperlink" Target="https://zakon.rada.gov.ua/laws/show/2341-14#n689" TargetMode="External"/><Relationship Id="rId8" Type="http://schemas.openxmlformats.org/officeDocument/2006/relationships/hyperlink" Target="https://zakon.rada.gov.ua/laws/show/2341-14#n38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